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F40" w:rsidRDefault="009D32D6">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E21F40" w:rsidRDefault="009D32D6">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1.009446</w:t>
      </w:r>
    </w:p>
    <w:p w:rsidR="00E21F40" w:rsidRDefault="009D32D6">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E21F40" w:rsidRDefault="009D32D6">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Công bố chuyển bến thủy nội địa thành cảng thủy nội địa trong trường hợp bến thủy nội địa có quy mô, thông số kỹ thuật phù hợp với cấp kỹ thuật cảng thủy nội địa</w:t>
      </w:r>
    </w:p>
    <w:p w:rsidR="00E21F40" w:rsidRDefault="009D32D6">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E21F40" w:rsidRDefault="009D32D6">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E21F40" w:rsidRDefault="009D32D6">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E21F40" w:rsidRDefault="009D32D6">
      <w:pPr>
        <w:spacing w:after="0" w:line="276" w:lineRule="auto"/>
        <w:jc w:val="both"/>
      </w:pPr>
      <w:r>
        <w:rPr>
          <w:rFonts w:ascii="Times New Roman" w:eastAsia="Times New Roman" w:hAnsi="Times New Roman" w:cs="Times New Roman"/>
          <w:b/>
          <w:sz w:val="26"/>
        </w:rPr>
        <w:t xml:space="preserve">Trình tự thực hiện: </w:t>
      </w:r>
    </w:p>
    <w:p w:rsidR="00E21F40" w:rsidRDefault="009D32D6">
      <w:pPr>
        <w:shd w:val="clear" w:color="auto" w:fill="F2F6F9"/>
        <w:spacing w:before="120" w:after="0" w:line="276" w:lineRule="auto"/>
        <w:jc w:val="both"/>
      </w:pPr>
      <w:r>
        <w:rPr>
          <w:rFonts w:ascii="Times New Roman" w:eastAsia="Times New Roman" w:hAnsi="Times New Roman" w:cs="Times New Roman"/>
          <w:b/>
          <w:sz w:val="26"/>
        </w:rPr>
        <w:t>a) Nộp hồ sơ TTHC:</w:t>
      </w:r>
    </w:p>
    <w:p w:rsidR="00E21F40" w:rsidRDefault="009D32D6">
      <w:pPr>
        <w:spacing w:after="0" w:line="276" w:lineRule="auto"/>
        <w:jc w:val="both"/>
      </w:pPr>
      <w:r>
        <w:rPr>
          <w:rFonts w:ascii="Times New Roman" w:eastAsia="Times New Roman" w:hAnsi="Times New Roman" w:cs="Times New Roman"/>
          <w:sz w:val="26"/>
        </w:rPr>
        <w:t>Người quản lý khai thác bến thủy nội địa nộp hồ đến cơ quan có thẩm quyền sau:  - Bộ Xây dự</w:t>
      </w:r>
      <w:r>
        <w:rPr>
          <w:rFonts w:ascii="Times New Roman" w:eastAsia="Times New Roman" w:hAnsi="Times New Roman" w:cs="Times New Roman"/>
          <w:sz w:val="26"/>
        </w:rPr>
        <w:t xml:space="preserve">ng: công bố chuyển bến thủy nội địa thành cảng thủy nội địa tiếp nhận phương tiện thủy nước ngoài;   - Cục Hàng hải và Đường thủy Việt Nam: công bố chuyển bến thủy nội địa thành cảng thủy nội địa trên đường thủy nội địa quốc gia, đường thủy nội địa chuyên </w:t>
      </w:r>
      <w:r>
        <w:rPr>
          <w:rFonts w:ascii="Times New Roman" w:eastAsia="Times New Roman" w:hAnsi="Times New Roman" w:cs="Times New Roman"/>
          <w:sz w:val="26"/>
        </w:rPr>
        <w:t xml:space="preserve">dùng nối với đường thủy nội địa quốc gia, cảng thủy nội địa có vùng nước, vùng đất vừa trên đường thủy nội địa quốc gia vừa trên đường thủy nội địa địa phương, cảng thủy nội địa trong vùng nước cảng biển nối với đường thủy nội địa quốc gia, trừ trường hợp </w:t>
      </w:r>
      <w:r>
        <w:rPr>
          <w:rFonts w:ascii="Times New Roman" w:eastAsia="Times New Roman" w:hAnsi="Times New Roman" w:cs="Times New Roman"/>
          <w:sz w:val="26"/>
        </w:rPr>
        <w:t>thuộc thẩm quyền của Bộ Xây dựng và các trường hợp khác do Bộ Xây dựng quyết định;   - Sở Xây dựng, Sở Giao thông công chánh TP Hồ Chí Minh: công bố chuyển bến thủy nội địa thành cảng thủy nội địa  trên đường thủy nội địa địa phương, đường thủy nội địa chu</w:t>
      </w:r>
      <w:r>
        <w:rPr>
          <w:rFonts w:ascii="Times New Roman" w:eastAsia="Times New Roman" w:hAnsi="Times New Roman" w:cs="Times New Roman"/>
          <w:sz w:val="26"/>
        </w:rPr>
        <w:t>yên dùng nối với đường thủy nội địa địa phương, cảng thủy nội địa trong vùng nước cảng biển nối với đường thủy nội địa địa phương, trừ trường hợp thuộc thẩm quyền của Bộ Xây dựng và các trường hợp khác do Bộ Xây dựng quyết định.</w:t>
      </w:r>
    </w:p>
    <w:p w:rsidR="00E21F40" w:rsidRDefault="009D32D6">
      <w:pPr>
        <w:shd w:val="clear" w:color="auto" w:fill="F2F6F9"/>
        <w:spacing w:before="120" w:after="0" w:line="276" w:lineRule="auto"/>
        <w:jc w:val="both"/>
      </w:pPr>
      <w:r>
        <w:rPr>
          <w:rFonts w:ascii="Times New Roman" w:eastAsia="Times New Roman" w:hAnsi="Times New Roman" w:cs="Times New Roman"/>
          <w:b/>
          <w:sz w:val="26"/>
        </w:rPr>
        <w:t>b) Giải quyết TTHC:</w:t>
      </w:r>
    </w:p>
    <w:p w:rsidR="00E21F40" w:rsidRDefault="009D32D6">
      <w:pPr>
        <w:spacing w:after="0" w:line="276" w:lineRule="auto"/>
        <w:jc w:val="both"/>
      </w:pPr>
      <w:r>
        <w:rPr>
          <w:rFonts w:ascii="Times New Roman" w:eastAsia="Times New Roman" w:hAnsi="Times New Roman" w:cs="Times New Roman"/>
          <w:sz w:val="26"/>
        </w:rPr>
        <w:t xml:space="preserve">- Cảng </w:t>
      </w:r>
      <w:r>
        <w:rPr>
          <w:rFonts w:ascii="Times New Roman" w:eastAsia="Times New Roman" w:hAnsi="Times New Roman" w:cs="Times New Roman"/>
          <w:sz w:val="26"/>
        </w:rPr>
        <w:t xml:space="preserve">thủy nội địa tiếp nhận phương tiện thủy nước ngoài:   + Trong thời hạn 05 ngày, kể từ ngày nhận đủ hồ sơ theo quy định, Cục Hàng hải và Đường thủy Việt Nam, Sở Xây dựng, Sở Giao thông công chánh TP Hồ Chí Minh thẩm định hồ sơ, nếu đủ điều kiện thì báo cáo </w:t>
      </w:r>
      <w:r>
        <w:rPr>
          <w:rFonts w:ascii="Times New Roman" w:eastAsia="Times New Roman" w:hAnsi="Times New Roman" w:cs="Times New Roman"/>
          <w:sz w:val="26"/>
        </w:rPr>
        <w:t>Bộ Xây dựng;   + Trong thời hạn 05 ngày làm việc, kể từ ngày nhận đủ hồ sơ và báo cáo thẩm định, Bộ Xây dựng ban hành quyết định công bố hoạt động cảng thủy nội địa;</w:t>
      </w:r>
    </w:p>
    <w:p w:rsidR="00E21F40" w:rsidRDefault="009D32D6">
      <w:pPr>
        <w:spacing w:after="0" w:line="276" w:lineRule="auto"/>
        <w:jc w:val="both"/>
      </w:pPr>
      <w:r>
        <w:rPr>
          <w:rFonts w:ascii="Times New Roman" w:eastAsia="Times New Roman" w:hAnsi="Times New Roman" w:cs="Times New Roman"/>
          <w:sz w:val="26"/>
        </w:rPr>
        <w:t>- Cảng thủy nội địa không tiếp nhận phương tiện thủy nước ngoài: Trong thời hạn 05 ngày, k</w:t>
      </w:r>
      <w:r>
        <w:rPr>
          <w:rFonts w:ascii="Times New Roman" w:eastAsia="Times New Roman" w:hAnsi="Times New Roman" w:cs="Times New Roman"/>
          <w:sz w:val="26"/>
        </w:rPr>
        <w:t>ể từ ngày nhận đủ hồ sơ theo quy định, Cục Hàng hải và Đường thủy Việt Nam hoặc Sở Xây dựng, Sở Giao thông công chánh TP Hồ Chí Minh ban hành quyết định công bố hoạt động cảng thủy nội địa.</w:t>
      </w:r>
    </w:p>
    <w:p w:rsidR="00E21F40" w:rsidRDefault="009D32D6">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54"/>
        <w:gridCol w:w="898"/>
        <w:gridCol w:w="1033"/>
        <w:gridCol w:w="6626"/>
      </w:tblGrid>
      <w:tr w:rsidR="00E21F40">
        <w:tblPrEx>
          <w:tblCellMar>
            <w:top w:w="0" w:type="dxa"/>
            <w:bottom w:w="0" w:type="dxa"/>
          </w:tblCellMar>
        </w:tblPrEx>
        <w:tc>
          <w:tcPr>
            <w:tcW w:w="1500" w:type="dxa"/>
          </w:tcPr>
          <w:p w:rsidR="00E21F40" w:rsidRDefault="00E21F40"/>
          <w:p w:rsidR="00E21F40" w:rsidRDefault="009D32D6">
            <w:pPr>
              <w:spacing w:after="0" w:line="276" w:lineRule="auto"/>
              <w:jc w:val="center"/>
            </w:pPr>
            <w:r>
              <w:rPr>
                <w:rFonts w:ascii="Times New Roman" w:eastAsia="Times New Roman" w:hAnsi="Times New Roman" w:cs="Times New Roman"/>
                <w:b/>
                <w:sz w:val="26"/>
              </w:rPr>
              <w:lastRenderedPageBreak/>
              <w:t>Hình thức nộp</w:t>
            </w:r>
          </w:p>
        </w:tc>
        <w:tc>
          <w:tcPr>
            <w:tcW w:w="2000" w:type="dxa"/>
          </w:tcPr>
          <w:p w:rsidR="00E21F40" w:rsidRDefault="00E21F40"/>
          <w:p w:rsidR="00E21F40" w:rsidRDefault="009D32D6">
            <w:pPr>
              <w:spacing w:after="0" w:line="276" w:lineRule="auto"/>
              <w:jc w:val="center"/>
            </w:pPr>
            <w:r>
              <w:rPr>
                <w:rFonts w:ascii="Times New Roman" w:eastAsia="Times New Roman" w:hAnsi="Times New Roman" w:cs="Times New Roman"/>
                <w:b/>
                <w:sz w:val="26"/>
              </w:rPr>
              <w:lastRenderedPageBreak/>
              <w:t>Thời hạn giải quyết</w:t>
            </w:r>
          </w:p>
        </w:tc>
        <w:tc>
          <w:tcPr>
            <w:tcW w:w="3500" w:type="dxa"/>
          </w:tcPr>
          <w:p w:rsidR="00E21F40" w:rsidRDefault="00E21F40"/>
          <w:p w:rsidR="00E21F40" w:rsidRDefault="009D32D6">
            <w:pPr>
              <w:spacing w:after="0" w:line="276" w:lineRule="auto"/>
              <w:jc w:val="center"/>
            </w:pPr>
            <w:r>
              <w:rPr>
                <w:rFonts w:ascii="Times New Roman" w:eastAsia="Times New Roman" w:hAnsi="Times New Roman" w:cs="Times New Roman"/>
                <w:b/>
                <w:sz w:val="26"/>
              </w:rPr>
              <w:lastRenderedPageBreak/>
              <w:t>Phí, lệ</w:t>
            </w:r>
            <w:r>
              <w:rPr>
                <w:rFonts w:ascii="Times New Roman" w:eastAsia="Times New Roman" w:hAnsi="Times New Roman" w:cs="Times New Roman"/>
                <w:b/>
                <w:sz w:val="26"/>
              </w:rPr>
              <w:t xml:space="preserve"> phí</w:t>
            </w:r>
          </w:p>
        </w:tc>
        <w:tc>
          <w:tcPr>
            <w:tcW w:w="3000" w:type="dxa"/>
          </w:tcPr>
          <w:p w:rsidR="00E21F40" w:rsidRDefault="00E21F40"/>
          <w:p w:rsidR="00E21F40" w:rsidRDefault="009D32D6">
            <w:pPr>
              <w:spacing w:after="0" w:line="276" w:lineRule="auto"/>
              <w:jc w:val="center"/>
            </w:pPr>
            <w:r>
              <w:rPr>
                <w:rFonts w:ascii="Times New Roman" w:eastAsia="Times New Roman" w:hAnsi="Times New Roman" w:cs="Times New Roman"/>
                <w:b/>
                <w:sz w:val="26"/>
              </w:rPr>
              <w:lastRenderedPageBreak/>
              <w:t>Mô tả</w:t>
            </w:r>
          </w:p>
        </w:tc>
      </w:tr>
      <w:tr w:rsidR="00E21F40">
        <w:tblPrEx>
          <w:tblCellMar>
            <w:top w:w="0" w:type="dxa"/>
            <w:bottom w:w="0" w:type="dxa"/>
          </w:tblCellMar>
        </w:tblPrEx>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Trực tiếp</w:t>
            </w:r>
          </w:p>
        </w:tc>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10 Ngày làm việc</w:t>
            </w:r>
          </w:p>
        </w:tc>
        <w:tc>
          <w:tcPr>
            <w:tcW w:w="0" w:type="auto"/>
          </w:tcPr>
          <w:p w:rsidR="00E21F40" w:rsidRDefault="00E21F40"/>
          <w:p w:rsidR="00E21F40" w:rsidRDefault="00E21F40">
            <w:pPr>
              <w:spacing w:after="0" w:line="276" w:lineRule="auto"/>
            </w:pPr>
          </w:p>
        </w:tc>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 Cảng thủy nội địa tiếp nhận phương tiện thủy nước ngoài:   + Trong thời hạn 05 ngày, kể từ ngày nhận đủ hồ sơ theo quy định, Cục Hàng hải và Đường thủy Việt Nam, Sở Xây dựng, Sở Giao thông công chánh TP Hồ Chí</w:t>
            </w:r>
            <w:r>
              <w:rPr>
                <w:rFonts w:ascii="Times New Roman" w:eastAsia="Times New Roman" w:hAnsi="Times New Roman" w:cs="Times New Roman"/>
                <w:sz w:val="26"/>
              </w:rPr>
              <w:t xml:space="preserve"> Minh thẩm định hồ sơ, nếu đủ điều kiện thì báo cáo Bộ Xây dựng;   + Trong thời hạn 05 ngày làm việc, kể từ ngày nhận đủ hồ sơ và báo cáo thẩm định, Bộ Xây dựng ban hành quyết định công bố hoạt động cảng thủy nội địa;</w:t>
            </w:r>
          </w:p>
        </w:tc>
      </w:tr>
      <w:tr w:rsidR="00E21F40">
        <w:tblPrEx>
          <w:tblCellMar>
            <w:top w:w="0" w:type="dxa"/>
            <w:bottom w:w="0" w:type="dxa"/>
          </w:tblCellMar>
        </w:tblPrEx>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Trực tiếp</w:t>
            </w:r>
          </w:p>
        </w:tc>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5 Ngày làm việc</w:t>
            </w:r>
          </w:p>
        </w:tc>
        <w:tc>
          <w:tcPr>
            <w:tcW w:w="0" w:type="auto"/>
          </w:tcPr>
          <w:p w:rsidR="00E21F40" w:rsidRDefault="00E21F40"/>
          <w:p w:rsidR="00E21F40" w:rsidRDefault="00E21F40">
            <w:pPr>
              <w:spacing w:after="0" w:line="276" w:lineRule="auto"/>
            </w:pPr>
          </w:p>
        </w:tc>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 xml:space="preserve">Cảng </w:t>
            </w:r>
            <w:r>
              <w:rPr>
                <w:rFonts w:ascii="Times New Roman" w:eastAsia="Times New Roman" w:hAnsi="Times New Roman" w:cs="Times New Roman"/>
                <w:sz w:val="26"/>
              </w:rPr>
              <w:t>thủy nội địa không tiếp nhận phương tiện thủy nước ngoài: Trong thời hạn 05 ngày, kể từ ngày nhận đủ hồ sơ theo quy định, Cục Hàng hải và Đường thủy Việt Nam hoặc Sở Xây dựng, Sở Giao thông công chánh TP Hồ Chí Minh ban hành quyết định công bố hoạt động cả</w:t>
            </w:r>
            <w:r>
              <w:rPr>
                <w:rFonts w:ascii="Times New Roman" w:eastAsia="Times New Roman" w:hAnsi="Times New Roman" w:cs="Times New Roman"/>
                <w:sz w:val="26"/>
              </w:rPr>
              <w:t>ng thủy nội địa.</w:t>
            </w:r>
          </w:p>
        </w:tc>
      </w:tr>
      <w:tr w:rsidR="00E21F40">
        <w:tblPrEx>
          <w:tblCellMar>
            <w:top w:w="0" w:type="dxa"/>
            <w:bottom w:w="0" w:type="dxa"/>
          </w:tblCellMar>
        </w:tblPrEx>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Trực tuyến</w:t>
            </w:r>
          </w:p>
        </w:tc>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10 Ngày làm việc</w:t>
            </w:r>
          </w:p>
        </w:tc>
        <w:tc>
          <w:tcPr>
            <w:tcW w:w="0" w:type="auto"/>
          </w:tcPr>
          <w:p w:rsidR="00E21F40" w:rsidRDefault="00E21F40"/>
          <w:p w:rsidR="00E21F40" w:rsidRDefault="00E21F40">
            <w:pPr>
              <w:spacing w:after="0" w:line="276" w:lineRule="auto"/>
            </w:pPr>
          </w:p>
        </w:tc>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 xml:space="preserve">- Cảng thủy nội địa tiếp nhận phương tiện thủy nước ngoài:   + Trong thời hạn 05 ngày, kể từ ngày nhận đủ hồ sơ theo quy định, Cục Hàng hải và Đường thủy Việt Nam, Sở Xây dựng, Sở Giao thông công chánh TP </w:t>
            </w:r>
            <w:r>
              <w:rPr>
                <w:rFonts w:ascii="Times New Roman" w:eastAsia="Times New Roman" w:hAnsi="Times New Roman" w:cs="Times New Roman"/>
                <w:sz w:val="26"/>
              </w:rPr>
              <w:t>Hồ Chí Minh thẩm định hồ sơ, nếu đủ điều kiện thì báo cáo Bộ Xây dựng;   + Trong thời hạn 05 ngày làm việc, kể từ ngày nhận đủ hồ sơ và báo cáo thẩm định, Bộ Xây dựng ban hành quyết định công bố hoạt động cảng thủy nội địa;</w:t>
            </w:r>
          </w:p>
        </w:tc>
      </w:tr>
      <w:tr w:rsidR="00E21F40">
        <w:tblPrEx>
          <w:tblCellMar>
            <w:top w:w="0" w:type="dxa"/>
            <w:bottom w:w="0" w:type="dxa"/>
          </w:tblCellMar>
        </w:tblPrEx>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Trực tuyến</w:t>
            </w:r>
          </w:p>
        </w:tc>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5 Ngày làm việc</w:t>
            </w:r>
          </w:p>
        </w:tc>
        <w:tc>
          <w:tcPr>
            <w:tcW w:w="0" w:type="auto"/>
          </w:tcPr>
          <w:p w:rsidR="00E21F40" w:rsidRDefault="00E21F40"/>
          <w:p w:rsidR="00E21F40" w:rsidRDefault="00E21F40">
            <w:pPr>
              <w:spacing w:after="0" w:line="276" w:lineRule="auto"/>
            </w:pPr>
          </w:p>
        </w:tc>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Cảng thủy nội địa không tiếp nhận phương tiện thủy nước ngoài: Trong thời hạn 05 ngày, kể từ ngày nhận đủ hồ sơ theo quy định, Cục Hàng hải và Đường thủy Việt Nam hoặc Sở Xây dựng, Sở Giao thông công chánh TP Hồ Chí Minh ban hành quyết định công bố hoạt đ</w:t>
            </w:r>
            <w:r>
              <w:rPr>
                <w:rFonts w:ascii="Times New Roman" w:eastAsia="Times New Roman" w:hAnsi="Times New Roman" w:cs="Times New Roman"/>
                <w:sz w:val="26"/>
              </w:rPr>
              <w:t>ộng cảng thủy nội địa.</w:t>
            </w:r>
          </w:p>
        </w:tc>
      </w:tr>
      <w:tr w:rsidR="00E21F40">
        <w:tblPrEx>
          <w:tblCellMar>
            <w:top w:w="0" w:type="dxa"/>
            <w:bottom w:w="0" w:type="dxa"/>
          </w:tblCellMar>
        </w:tblPrEx>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Dịch vụ bưu chính</w:t>
            </w:r>
          </w:p>
        </w:tc>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 xml:space="preserve">10 Ngày làm </w:t>
            </w:r>
            <w:r>
              <w:rPr>
                <w:rFonts w:ascii="Times New Roman" w:eastAsia="Times New Roman" w:hAnsi="Times New Roman" w:cs="Times New Roman"/>
                <w:sz w:val="26"/>
              </w:rPr>
              <w:lastRenderedPageBreak/>
              <w:t>việc</w:t>
            </w:r>
          </w:p>
        </w:tc>
        <w:tc>
          <w:tcPr>
            <w:tcW w:w="0" w:type="auto"/>
          </w:tcPr>
          <w:p w:rsidR="00E21F40" w:rsidRDefault="00E21F40"/>
          <w:p w:rsidR="00E21F40" w:rsidRDefault="00E21F40">
            <w:pPr>
              <w:spacing w:after="0" w:line="276" w:lineRule="auto"/>
            </w:pPr>
          </w:p>
        </w:tc>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 xml:space="preserve">- Cảng thủy nội địa tiếp nhận phương tiện thủy nước ngoài:   + Trong thời hạn 05 ngày, kể từ ngày nhận đủ hồ sơ theo quy định, Cục Hàng hải và Đường thủy Việt Nam, Sở Xây dựng, </w:t>
            </w:r>
            <w:r>
              <w:rPr>
                <w:rFonts w:ascii="Times New Roman" w:eastAsia="Times New Roman" w:hAnsi="Times New Roman" w:cs="Times New Roman"/>
                <w:sz w:val="26"/>
              </w:rPr>
              <w:lastRenderedPageBreak/>
              <w:t>Sở Giao thông c</w:t>
            </w:r>
            <w:r>
              <w:rPr>
                <w:rFonts w:ascii="Times New Roman" w:eastAsia="Times New Roman" w:hAnsi="Times New Roman" w:cs="Times New Roman"/>
                <w:sz w:val="26"/>
              </w:rPr>
              <w:t>ông chánh TP Hồ Chí Minh thẩm định hồ sơ, nếu đủ điều kiện thì báo cáo Bộ Xây dựng;   + Trong thời hạn 05 ngày làm việc, kể từ ngày nhận đủ hồ sơ và báo cáo thẩm định, Bộ Xây dựng ban hành quyết định công bố hoạt động cảng thủy nội địa;</w:t>
            </w:r>
          </w:p>
        </w:tc>
      </w:tr>
      <w:tr w:rsidR="00E21F40">
        <w:tblPrEx>
          <w:tblCellMar>
            <w:top w:w="0" w:type="dxa"/>
            <w:bottom w:w="0" w:type="dxa"/>
          </w:tblCellMar>
        </w:tblPrEx>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Dịch vụ bưu chính</w:t>
            </w:r>
          </w:p>
        </w:tc>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5 Ngày làm việc</w:t>
            </w:r>
          </w:p>
        </w:tc>
        <w:tc>
          <w:tcPr>
            <w:tcW w:w="0" w:type="auto"/>
          </w:tcPr>
          <w:p w:rsidR="00E21F40" w:rsidRDefault="00E21F40"/>
          <w:p w:rsidR="00E21F40" w:rsidRDefault="00E21F40">
            <w:pPr>
              <w:spacing w:after="0" w:line="276" w:lineRule="auto"/>
            </w:pPr>
          </w:p>
        </w:tc>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Cảng thủy nội địa không tiếp nhận phương tiện thủy nước ngoài: Trong thời hạn 05 ngày, kể từ ngày nhận đủ hồ sơ theo quy định, Cục Hàng hải và Đường thủy Việt Nam hoặc Sở Xây dựng, Sở Giao thông công chánh TP Hồ Chí Minh ban hành quyết</w:t>
            </w:r>
            <w:r>
              <w:rPr>
                <w:rFonts w:ascii="Times New Roman" w:eastAsia="Times New Roman" w:hAnsi="Times New Roman" w:cs="Times New Roman"/>
                <w:sz w:val="26"/>
              </w:rPr>
              <w:t xml:space="preserve"> định công bố hoạt động cảng thủy nội địa.</w:t>
            </w:r>
          </w:p>
        </w:tc>
      </w:tr>
    </w:tbl>
    <w:p w:rsidR="00E21F40" w:rsidRDefault="009D32D6">
      <w:pPr>
        <w:spacing w:before="240" w:after="0" w:line="276" w:lineRule="auto"/>
        <w:jc w:val="both"/>
      </w:pPr>
      <w:r>
        <w:rPr>
          <w:rFonts w:ascii="Times New Roman" w:eastAsia="Times New Roman" w:hAnsi="Times New Roman" w:cs="Times New Roman"/>
          <w:b/>
          <w:sz w:val="26"/>
        </w:rPr>
        <w:t xml:space="preserve">Thành phần hồ sơ: </w:t>
      </w:r>
    </w:p>
    <w:p w:rsidR="00E21F40" w:rsidRDefault="009D32D6">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E21F40">
        <w:tblPrEx>
          <w:tblCellMar>
            <w:top w:w="0" w:type="dxa"/>
            <w:bottom w:w="0" w:type="dxa"/>
          </w:tblCellMar>
        </w:tblPrEx>
        <w:tc>
          <w:tcPr>
            <w:tcW w:w="6000" w:type="dxa"/>
          </w:tcPr>
          <w:p w:rsidR="00E21F40" w:rsidRDefault="00E21F40"/>
          <w:p w:rsidR="00E21F40" w:rsidRDefault="009D32D6">
            <w:pPr>
              <w:spacing w:after="0" w:line="276" w:lineRule="auto"/>
              <w:jc w:val="center"/>
            </w:pPr>
            <w:r>
              <w:rPr>
                <w:rFonts w:ascii="Times New Roman" w:eastAsia="Times New Roman" w:hAnsi="Times New Roman" w:cs="Times New Roman"/>
                <w:b/>
                <w:sz w:val="26"/>
              </w:rPr>
              <w:t>Tên giấy tờ</w:t>
            </w:r>
          </w:p>
        </w:tc>
        <w:tc>
          <w:tcPr>
            <w:tcW w:w="2000" w:type="dxa"/>
          </w:tcPr>
          <w:p w:rsidR="00E21F40" w:rsidRDefault="00E21F40"/>
          <w:p w:rsidR="00E21F40" w:rsidRDefault="009D32D6">
            <w:pPr>
              <w:spacing w:after="0" w:line="276" w:lineRule="auto"/>
              <w:jc w:val="center"/>
            </w:pPr>
            <w:r>
              <w:rPr>
                <w:rFonts w:ascii="Times New Roman" w:eastAsia="Times New Roman" w:hAnsi="Times New Roman" w:cs="Times New Roman"/>
                <w:b/>
                <w:sz w:val="26"/>
              </w:rPr>
              <w:t>Mẫu đơn, tờ khai</w:t>
            </w:r>
          </w:p>
        </w:tc>
        <w:tc>
          <w:tcPr>
            <w:tcW w:w="2000" w:type="dxa"/>
          </w:tcPr>
          <w:p w:rsidR="00E21F40" w:rsidRDefault="00E21F40"/>
          <w:p w:rsidR="00E21F40" w:rsidRDefault="009D32D6">
            <w:pPr>
              <w:spacing w:after="0" w:line="276" w:lineRule="auto"/>
              <w:jc w:val="center"/>
            </w:pPr>
            <w:r>
              <w:rPr>
                <w:rFonts w:ascii="Times New Roman" w:eastAsia="Times New Roman" w:hAnsi="Times New Roman" w:cs="Times New Roman"/>
                <w:b/>
                <w:sz w:val="26"/>
              </w:rPr>
              <w:t>Số lượng</w:t>
            </w:r>
          </w:p>
        </w:tc>
      </w:tr>
      <w:tr w:rsidR="00E21F40">
        <w:tblPrEx>
          <w:tblCellMar>
            <w:top w:w="0" w:type="dxa"/>
            <w:bottom w:w="0" w:type="dxa"/>
          </w:tblCellMar>
        </w:tblPrEx>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 Đơn đề nghị công bố chuyển bến thủy nội địa thành cảng thủy nội địa theo mẫu;</w:t>
            </w:r>
          </w:p>
        </w:tc>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7.docx</w:t>
            </w:r>
          </w:p>
        </w:tc>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21F40">
        <w:tblPrEx>
          <w:tblCellMar>
            <w:top w:w="0" w:type="dxa"/>
            <w:bottom w:w="0" w:type="dxa"/>
          </w:tblCellMar>
        </w:tblPrEx>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 xml:space="preserve">- Văn bản thỏa thuận thông </w:t>
            </w:r>
            <w:r>
              <w:rPr>
                <w:rFonts w:ascii="Times New Roman" w:eastAsia="Times New Roman" w:hAnsi="Times New Roman" w:cs="Times New Roman"/>
                <w:sz w:val="26"/>
              </w:rPr>
              <w:t>số kỹ thuật của cấp có thẩm quyền về nâng cấp bến thủy nội địa thành cảng thủy nội địa;</w:t>
            </w:r>
          </w:p>
        </w:tc>
        <w:tc>
          <w:tcPr>
            <w:tcW w:w="0" w:type="auto"/>
          </w:tcPr>
          <w:p w:rsidR="00E21F40" w:rsidRDefault="00E21F40"/>
        </w:tc>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21F40">
        <w:tblPrEx>
          <w:tblCellMar>
            <w:top w:w="0" w:type="dxa"/>
            <w:bottom w:w="0" w:type="dxa"/>
          </w:tblCellMar>
        </w:tblPrEx>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 Bản vẽ hoàn công của bến thủy nội địa;</w:t>
            </w:r>
          </w:p>
        </w:tc>
        <w:tc>
          <w:tcPr>
            <w:tcW w:w="0" w:type="auto"/>
          </w:tcPr>
          <w:p w:rsidR="00E21F40" w:rsidRDefault="00E21F40"/>
        </w:tc>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21F40">
        <w:tblPrEx>
          <w:tblCellMar>
            <w:top w:w="0" w:type="dxa"/>
            <w:bottom w:w="0" w:type="dxa"/>
          </w:tblCellMar>
        </w:tblPrEx>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 Bản vẽ mặt bằng công trình, vùng đất, vùng nước của bến thủy nội địa;</w:t>
            </w:r>
          </w:p>
        </w:tc>
        <w:tc>
          <w:tcPr>
            <w:tcW w:w="0" w:type="auto"/>
          </w:tcPr>
          <w:p w:rsidR="00E21F40" w:rsidRDefault="00E21F40"/>
        </w:tc>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21F40">
        <w:tblPrEx>
          <w:tblCellMar>
            <w:top w:w="0" w:type="dxa"/>
            <w:bottom w:w="0" w:type="dxa"/>
          </w:tblCellMar>
        </w:tblPrEx>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 Hồ sơ kiểm tra tính toán thực tế bến thủy nội địa do đơn vị tư vấn có tư cách pháp nhân kiểm định thực hiện.</w:t>
            </w:r>
          </w:p>
        </w:tc>
        <w:tc>
          <w:tcPr>
            <w:tcW w:w="0" w:type="auto"/>
          </w:tcPr>
          <w:p w:rsidR="00E21F40" w:rsidRDefault="00E21F40"/>
        </w:tc>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E21F40" w:rsidRDefault="009D32D6">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nước ngoài, Doanh nghiệp, Doanh nghiệp có </w:t>
      </w:r>
      <w:r>
        <w:rPr>
          <w:rFonts w:ascii="Times New Roman" w:eastAsia="Times New Roman" w:hAnsi="Times New Roman" w:cs="Times New Roman"/>
          <w:sz w:val="26"/>
        </w:rPr>
        <w:t>vốn đầu tư nước ngoài, Tổ chức (không bao gồm doanh nghiệp, HTX), Tổ chức nước ngoài, Hợp tác xã</w:t>
      </w:r>
    </w:p>
    <w:p w:rsidR="00E21F40" w:rsidRDefault="009D32D6">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Hàng hải và Đường thủy Việt Nam, Bộ Xây dựng, Sở Xây dựng, Sở Giao thông công chánh - TP.HCM</w:t>
      </w:r>
    </w:p>
    <w:p w:rsidR="00E21F40" w:rsidRDefault="009D32D6">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E21F40" w:rsidRDefault="009D32D6">
      <w:pPr>
        <w:spacing w:after="0" w:line="276" w:lineRule="auto"/>
        <w:jc w:val="both"/>
      </w:pPr>
      <w:r>
        <w:rPr>
          <w:rFonts w:ascii="Times New Roman" w:eastAsia="Times New Roman" w:hAnsi="Times New Roman" w:cs="Times New Roman"/>
          <w:b/>
          <w:sz w:val="26"/>
        </w:rPr>
        <w:t>Đ</w:t>
      </w:r>
      <w:r>
        <w:rPr>
          <w:rFonts w:ascii="Times New Roman" w:eastAsia="Times New Roman" w:hAnsi="Times New Roman" w:cs="Times New Roman"/>
          <w:b/>
          <w:sz w:val="26"/>
        </w:rPr>
        <w:t xml:space="preserve">ịa chỉ tiếp nhận HS: </w:t>
      </w:r>
      <w:r>
        <w:rPr>
          <w:rFonts w:ascii="Times New Roman" w:eastAsia="Times New Roman" w:hAnsi="Times New Roman" w:cs="Times New Roman"/>
          <w:sz w:val="26"/>
        </w:rPr>
        <w:t>Không có thông tin</w:t>
      </w:r>
    </w:p>
    <w:p w:rsidR="00E21F40" w:rsidRDefault="009D32D6">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E21F40" w:rsidRDefault="009D32D6">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E21F40" w:rsidRDefault="009D32D6">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công bố (công bố lại) hoạt động cảng (bến) thủy nội địa</w:t>
      </w:r>
    </w:p>
    <w:p w:rsidR="00E21F40" w:rsidRDefault="009D32D6">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E21F40">
        <w:tblPrEx>
          <w:tblCellMar>
            <w:top w:w="0" w:type="dxa"/>
            <w:bottom w:w="0" w:type="dxa"/>
          </w:tblCellMar>
        </w:tblPrEx>
        <w:tc>
          <w:tcPr>
            <w:tcW w:w="2000" w:type="dxa"/>
          </w:tcPr>
          <w:p w:rsidR="00E21F40" w:rsidRDefault="00E21F40"/>
          <w:p w:rsidR="00E21F40" w:rsidRDefault="009D32D6">
            <w:pPr>
              <w:spacing w:after="0" w:line="276" w:lineRule="auto"/>
              <w:jc w:val="center"/>
            </w:pPr>
            <w:r>
              <w:rPr>
                <w:rFonts w:ascii="Times New Roman" w:eastAsia="Times New Roman" w:hAnsi="Times New Roman" w:cs="Times New Roman"/>
                <w:b/>
                <w:sz w:val="26"/>
              </w:rPr>
              <w:t>Số ký hiệu</w:t>
            </w:r>
          </w:p>
        </w:tc>
        <w:tc>
          <w:tcPr>
            <w:tcW w:w="3500" w:type="dxa"/>
          </w:tcPr>
          <w:p w:rsidR="00E21F40" w:rsidRDefault="00E21F40"/>
          <w:p w:rsidR="00E21F40" w:rsidRDefault="009D32D6">
            <w:pPr>
              <w:spacing w:after="0" w:line="276" w:lineRule="auto"/>
              <w:jc w:val="center"/>
            </w:pPr>
            <w:r>
              <w:rPr>
                <w:rFonts w:ascii="Times New Roman" w:eastAsia="Times New Roman" w:hAnsi="Times New Roman" w:cs="Times New Roman"/>
                <w:b/>
                <w:sz w:val="26"/>
              </w:rPr>
              <w:t>Trích yếu</w:t>
            </w:r>
          </w:p>
        </w:tc>
        <w:tc>
          <w:tcPr>
            <w:tcW w:w="1500" w:type="dxa"/>
          </w:tcPr>
          <w:p w:rsidR="00E21F40" w:rsidRDefault="00E21F40"/>
          <w:p w:rsidR="00E21F40" w:rsidRDefault="009D32D6">
            <w:pPr>
              <w:spacing w:after="0" w:line="276" w:lineRule="auto"/>
              <w:jc w:val="center"/>
            </w:pPr>
            <w:r>
              <w:rPr>
                <w:rFonts w:ascii="Times New Roman" w:eastAsia="Times New Roman" w:hAnsi="Times New Roman" w:cs="Times New Roman"/>
                <w:b/>
                <w:sz w:val="26"/>
              </w:rPr>
              <w:t xml:space="preserve">Ngày ban </w:t>
            </w:r>
            <w:r>
              <w:rPr>
                <w:rFonts w:ascii="Times New Roman" w:eastAsia="Times New Roman" w:hAnsi="Times New Roman" w:cs="Times New Roman"/>
                <w:b/>
                <w:sz w:val="26"/>
              </w:rPr>
              <w:t>hành</w:t>
            </w:r>
          </w:p>
        </w:tc>
        <w:tc>
          <w:tcPr>
            <w:tcW w:w="3000" w:type="dxa"/>
          </w:tcPr>
          <w:p w:rsidR="00E21F40" w:rsidRDefault="00E21F40"/>
          <w:p w:rsidR="00E21F40" w:rsidRDefault="009D32D6">
            <w:pPr>
              <w:spacing w:after="0" w:line="276" w:lineRule="auto"/>
              <w:jc w:val="center"/>
            </w:pPr>
            <w:r>
              <w:rPr>
                <w:rFonts w:ascii="Times New Roman" w:eastAsia="Times New Roman" w:hAnsi="Times New Roman" w:cs="Times New Roman"/>
                <w:b/>
                <w:sz w:val="26"/>
              </w:rPr>
              <w:t>Cơ quan ban hành</w:t>
            </w:r>
          </w:p>
        </w:tc>
      </w:tr>
      <w:tr w:rsidR="00E21F40">
        <w:tblPrEx>
          <w:tblCellMar>
            <w:top w:w="0" w:type="dxa"/>
            <w:bottom w:w="0" w:type="dxa"/>
          </w:tblCellMar>
        </w:tblPrEx>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08/2021/NĐ-CP</w:t>
            </w:r>
          </w:p>
        </w:tc>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Nghị định 08/2021/NĐ-CP</w:t>
            </w:r>
          </w:p>
        </w:tc>
        <w:tc>
          <w:tcPr>
            <w:tcW w:w="0" w:type="auto"/>
          </w:tcPr>
          <w:p w:rsidR="00E21F40" w:rsidRDefault="00E21F40"/>
          <w:p w:rsidR="00E21F40" w:rsidRDefault="009D32D6">
            <w:pPr>
              <w:spacing w:after="0" w:line="276" w:lineRule="auto"/>
            </w:pPr>
            <w:r>
              <w:rPr>
                <w:rFonts w:ascii="Times New Roman" w:eastAsia="Times New Roman" w:hAnsi="Times New Roman" w:cs="Times New Roman"/>
                <w:sz w:val="26"/>
              </w:rPr>
              <w:t>28-01-2021</w:t>
            </w:r>
          </w:p>
        </w:tc>
        <w:tc>
          <w:tcPr>
            <w:tcW w:w="0" w:type="auto"/>
          </w:tcPr>
          <w:p w:rsidR="00E21F40" w:rsidRDefault="00E21F40"/>
        </w:tc>
      </w:tr>
    </w:tbl>
    <w:p w:rsidR="00E21F40" w:rsidRDefault="009D32D6">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E21F40" w:rsidRDefault="009D32D6">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E21F40" w:rsidRDefault="009D32D6">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E21F40">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E21F40"/>
    <w:rsid w:val="009D32D6"/>
    <w:rsid w:val="00E21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546495-885E-4C2C-978D-851981DB9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902</Words>
  <Characters>5148</Characters>
  <Application>Microsoft Office Word</Application>
  <DocSecurity>0</DocSecurity>
  <Lines>42</Lines>
  <Paragraphs>12</Paragraphs>
  <ScaleCrop>false</ScaleCrop>
  <Company>Microsoft</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